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Secondary Mathematics Teacher</w:t>
      </w:r>
    </w:p>
    <w:p w:rsidR="00000000" w:rsidDel="00000000" w:rsidP="00000000" w:rsidRDefault="00000000" w:rsidRPr="00000000" w14:paraId="00000002">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Fonts w:ascii="Helvetica Neue" w:cs="Helvetica Neue" w:eastAsia="Helvetica Neue" w:hAnsi="Helvetica Neue"/>
          <w:i w:val="1"/>
          <w:color w:val="222222"/>
          <w:sz w:val="24"/>
          <w:szCs w:val="24"/>
          <w:rtl w:val="0"/>
        </w:rPr>
        <w:t xml:space="preserve"> (The ability to teach a second subject could be an advantage)</w:t>
      </w:r>
    </w:p>
    <w:p w:rsidR="00000000" w:rsidDel="00000000" w:rsidP="00000000" w:rsidRDefault="00000000" w:rsidRPr="00000000" w14:paraId="00000003">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Beyond the joy of teaching in the backdrop of mountains, teaching Mathematics in Kathmandu has a joy of its own. Numbers and mathematical concepts are everywhere in Nepali culture and there is an opportunity to explore, with the students, the significance of 108 stupas and the symmetries and patterns of the mandals dotted around Nepal - even the constitution of Nepal has instructions on how to mathematically construct the flag! What could be more exciting than using trigonometry to measure the height of the Himalayas?</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https://teachapply.com/tbskathmandu/application.php?emp=1105&amp;pos=191 </w:t>
        </w:r>
      </w:hyperlink>
      <w:r w:rsidDel="00000000" w:rsidR="00000000" w:rsidRPr="00000000">
        <w:rPr>
          <w:rFonts w:ascii="Helvetica Neue" w:cs="Helvetica Neue" w:eastAsia="Helvetica Neue" w:hAnsi="Helvetica Neue"/>
          <w:color w:val="222222"/>
          <w:sz w:val="24"/>
          <w:szCs w:val="24"/>
          <w:rtl w:val="0"/>
        </w:rPr>
        <w:t xml:space="preserve">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E">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-1371599</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1"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