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8"/>
          <w:szCs w:val="28"/>
          <w:rtl w:val="0"/>
        </w:rPr>
        <w:t xml:space="preserve">Primary Physical Education Teacher</w:t>
      </w:r>
      <w:r w:rsidDel="00000000" w:rsidR="00000000" w:rsidRPr="00000000">
        <w:rPr>
          <w:rtl w:val="0"/>
        </w:rPr>
      </w:r>
    </w:p>
    <w:p w:rsidR="00000000" w:rsidDel="00000000" w:rsidP="00000000" w:rsidRDefault="00000000" w:rsidRPr="00000000" w14:paraId="00000002">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i w:val="1"/>
          <w:color w:val="222222"/>
          <w:sz w:val="24"/>
          <w:szCs w:val="24"/>
          <w:rtl w:val="0"/>
        </w:rPr>
        <w:t xml:space="preserve">(The ability to also offer a second subject could be an advantage)</w:t>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As our Primary PE teacher, you will be responsible for the delivery of the UK National Curriculum. We are looking for a dynamic individual with a passion for Sport, experience with the UK National Curriculum and the drive to enrich and develop our students' learning by creating a culture where there are no limits to what can be achieved. </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https://teachapply.com/tbskathmandu/application.php?emp=1105&amp;pos=192</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-1371599</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2"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